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EC5D" w14:textId="3959DE33" w:rsidR="00255C57" w:rsidRPr="00E632FF" w:rsidRDefault="00E632FF" w:rsidP="00E632FF">
      <w:pPr>
        <w:jc w:val="center"/>
        <w:rPr>
          <w:b/>
          <w:bCs/>
          <w:sz w:val="32"/>
          <w:szCs w:val="32"/>
        </w:rPr>
      </w:pPr>
      <w:r w:rsidRPr="00E632FF">
        <w:rPr>
          <w:b/>
          <w:bCs/>
          <w:sz w:val="32"/>
          <w:szCs w:val="32"/>
        </w:rPr>
        <w:t>Addiction Script</w:t>
      </w:r>
    </w:p>
    <w:tbl>
      <w:tblPr>
        <w:tblStyle w:val="TableGrid"/>
        <w:tblW w:w="0" w:type="auto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1696"/>
        <w:gridCol w:w="7320"/>
      </w:tblGrid>
      <w:tr w:rsidR="00032C15" w:rsidRPr="00032C15" w14:paraId="13A4FDCF" w14:textId="77777777" w:rsidTr="00032C15">
        <w:tc>
          <w:tcPr>
            <w:tcW w:w="1696" w:type="dxa"/>
            <w:shd w:val="clear" w:color="auto" w:fill="DEEAF6" w:themeFill="accent5" w:themeFillTint="33"/>
          </w:tcPr>
          <w:p w14:paraId="35CC91BF" w14:textId="251AE37D" w:rsidR="00032C15" w:rsidRPr="00032C15" w:rsidRDefault="00032C15" w:rsidP="00032C15">
            <w:pPr>
              <w:spacing w:after="120" w:line="23" w:lineRule="atLeast"/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032C15">
              <w:rPr>
                <w:b/>
                <w:bCs/>
                <w:color w:val="0070C0"/>
                <w:sz w:val="28"/>
                <w:szCs w:val="28"/>
              </w:rPr>
              <w:t>Slide #</w:t>
            </w:r>
          </w:p>
        </w:tc>
        <w:tc>
          <w:tcPr>
            <w:tcW w:w="7320" w:type="dxa"/>
            <w:shd w:val="clear" w:color="auto" w:fill="DEEAF6" w:themeFill="accent5" w:themeFillTint="33"/>
          </w:tcPr>
          <w:p w14:paraId="04001EA9" w14:textId="25425924" w:rsidR="00032C15" w:rsidRPr="00032C15" w:rsidRDefault="00032C15" w:rsidP="00032C15">
            <w:pPr>
              <w:spacing w:after="120" w:line="23" w:lineRule="atLeast"/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032C15">
              <w:rPr>
                <w:b/>
                <w:bCs/>
                <w:color w:val="0070C0"/>
                <w:sz w:val="28"/>
                <w:szCs w:val="28"/>
              </w:rPr>
              <w:t>Text</w:t>
            </w:r>
          </w:p>
        </w:tc>
      </w:tr>
      <w:tr w:rsidR="00032C15" w14:paraId="2A9FE1C8" w14:textId="77777777" w:rsidTr="00032C15">
        <w:tc>
          <w:tcPr>
            <w:tcW w:w="1696" w:type="dxa"/>
          </w:tcPr>
          <w:p w14:paraId="3BA99B75" w14:textId="165231B7" w:rsidR="00032C15" w:rsidRPr="00032C15" w:rsidRDefault="00032C15" w:rsidP="00032C15">
            <w:pPr>
              <w:spacing w:after="120" w:line="23" w:lineRule="atLeast"/>
              <w:rPr>
                <w:color w:val="FF0000"/>
                <w:sz w:val="28"/>
                <w:szCs w:val="28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</w:p>
        </w:tc>
        <w:tc>
          <w:tcPr>
            <w:tcW w:w="7320" w:type="dxa"/>
          </w:tcPr>
          <w:p w14:paraId="74BDA640" w14:textId="028D0623" w:rsidR="00032C15" w:rsidRPr="00032C15" w:rsidRDefault="00032C15" w:rsidP="00032C15">
            <w:pPr>
              <w:spacing w:after="120" w:line="23" w:lineRule="atLeast"/>
              <w:rPr>
                <w:color w:val="000000" w:themeColor="text1"/>
              </w:rPr>
            </w:pPr>
            <w:r w:rsidRPr="00032C15">
              <w:rPr>
                <w:rFonts w:ascii="Noto Sans Disp" w:hAnsi="Noto Sans Disp" w:cs="Noto Sans Disp"/>
                <w:color w:val="000000" w:themeColor="text1"/>
                <w:lang w:val="en-GB"/>
              </w:rPr>
              <w:t>Health Week</w:t>
            </w:r>
            <w:r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 Intro</w:t>
            </w:r>
          </w:p>
        </w:tc>
      </w:tr>
      <w:tr w:rsidR="00032C15" w14:paraId="601CD0B6" w14:textId="77777777" w:rsidTr="00032C15">
        <w:tc>
          <w:tcPr>
            <w:tcW w:w="1696" w:type="dxa"/>
          </w:tcPr>
          <w:p w14:paraId="52A58B4C" w14:textId="7D2C6DEA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7320" w:type="dxa"/>
          </w:tcPr>
          <w:p w14:paraId="33DDD40D" w14:textId="6765C564" w:rsidR="00032C15" w:rsidRPr="00032C15" w:rsidRDefault="00032C15" w:rsidP="00032C15">
            <w:pPr>
              <w:spacing w:after="120" w:line="23" w:lineRule="atLeast"/>
              <w:rPr>
                <w:color w:val="000000" w:themeColor="text1"/>
              </w:rPr>
            </w:pP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lang w:val="en-GB"/>
              </w:rPr>
              <w:t>Disclaimer:</w:t>
            </w:r>
            <w:r w:rsidRPr="00032C15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 The health information contained in this devotional is for general population use only, and must not be used to replace professional advice, guidance, or treatment</w:t>
            </w:r>
            <w:proofErr w:type="gramStart"/>
            <w:r w:rsidRPr="00032C15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. </w:t>
            </w:r>
            <w:proofErr w:type="gramEnd"/>
            <w:r w:rsidRPr="00032C15">
              <w:rPr>
                <w:rFonts w:ascii="Noto Sans Disp" w:hAnsi="Noto Sans Disp" w:cs="Noto Sans Disp"/>
                <w:color w:val="000000" w:themeColor="text1"/>
                <w:lang w:val="en-GB"/>
              </w:rPr>
              <w:t>Where there is real concern and need for professional help or review, we strongly recommend contacting your primary care provider, general practitioner, or local mental health team.</w:t>
            </w:r>
          </w:p>
        </w:tc>
      </w:tr>
      <w:tr w:rsidR="00032C15" w14:paraId="66F66ED1" w14:textId="77777777" w:rsidTr="00032C15">
        <w:tc>
          <w:tcPr>
            <w:tcW w:w="1696" w:type="dxa"/>
          </w:tcPr>
          <w:p w14:paraId="4C7FB5BA" w14:textId="03B3DF3B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3</w:t>
            </w:r>
          </w:p>
        </w:tc>
        <w:tc>
          <w:tcPr>
            <w:tcW w:w="7320" w:type="dxa"/>
          </w:tcPr>
          <w:p w14:paraId="2F7AE3E5" w14:textId="2EAEB0B0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40"/>
                <w:szCs w:val="40"/>
                <w:lang w:val="en-US"/>
              </w:rPr>
              <w:t xml:space="preserve">Journeying to Wholeness </w:t>
            </w:r>
            <w:r w:rsidRPr="00032C15">
              <w:rPr>
                <w:rFonts w:ascii="Noto Sans Disp" w:hAnsi="Noto Sans Disp" w:cs="Noto Sans Disp"/>
                <w:color w:val="000000" w:themeColor="text1"/>
                <w:lang w:val="en-US"/>
              </w:rPr>
              <w:br/>
            </w: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• Freedom from </w:t>
            </w:r>
            <w:r w:rsidR="0036260A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Problematic </w:t>
            </w: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Substance </w:t>
            </w:r>
            <w:r w:rsidR="0036260A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>Use</w:t>
            </w: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36260A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>Addiction</w:t>
            </w:r>
            <w:r w:rsidR="0036260A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•</w:t>
            </w:r>
          </w:p>
          <w:p w14:paraId="1885A63B" w14:textId="77777777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>Pastor Ben Martin</w:t>
            </w:r>
          </w:p>
          <w:p w14:paraId="5A6B71B7" w14:textId="3BE6B022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2C15">
              <w:rPr>
                <w:rFonts w:ascii="Noto Sans Disp" w:hAnsi="Noto Sans Disp" w:cs="Noto Sans Disp"/>
                <w:b/>
                <w:bCs/>
                <w:color w:val="000000" w:themeColor="text1"/>
                <w:sz w:val="24"/>
                <w:szCs w:val="24"/>
                <w:lang w:val="en-US"/>
              </w:rPr>
              <w:t>President, South New Zealand Conference</w:t>
            </w:r>
          </w:p>
        </w:tc>
      </w:tr>
      <w:tr w:rsidR="00032C15" w14:paraId="0911E69F" w14:textId="77777777" w:rsidTr="00032C15">
        <w:tc>
          <w:tcPr>
            <w:tcW w:w="1696" w:type="dxa"/>
          </w:tcPr>
          <w:p w14:paraId="17063300" w14:textId="3822A36A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4</w:t>
            </w:r>
          </w:p>
        </w:tc>
        <w:tc>
          <w:tcPr>
            <w:tcW w:w="7320" w:type="dxa"/>
          </w:tcPr>
          <w:p w14:paraId="6A17FC5D" w14:textId="77777777" w:rsidR="00032C15" w:rsidRPr="0037135B" w:rsidRDefault="00032C15" w:rsidP="00032C15">
            <w:pPr>
              <w:tabs>
                <w:tab w:val="right" w:pos="9000"/>
              </w:tabs>
              <w:autoSpaceDE w:val="0"/>
              <w:autoSpaceDN w:val="0"/>
              <w:adjustRightInd w:val="0"/>
              <w:spacing w:line="360" w:lineRule="auto"/>
              <w:ind w:left="1134" w:right="1134"/>
              <w:jc w:val="center"/>
              <w:textAlignment w:val="center"/>
              <w:rPr>
                <w:rFonts w:ascii="Noto Sans Disp" w:hAnsi="Noto Sans Disp" w:cs="Noto Sans Disp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37135B">
              <w:rPr>
                <w:rFonts w:ascii="Noto Sans Disp" w:hAnsi="Noto Sans Disp" w:cs="Noto Sans Disp"/>
                <w:i/>
                <w:iCs/>
                <w:color w:val="000000"/>
                <w:sz w:val="24"/>
                <w:szCs w:val="24"/>
                <w:lang w:val="en-US"/>
              </w:rPr>
              <w:t>“It is for freedom that Christ has set us free. Stand firm, then, and do not let yourselves be burdened again by a yoke of slavery.”</w:t>
            </w:r>
          </w:p>
          <w:p w14:paraId="63DF5021" w14:textId="7462C39D" w:rsidR="00032C15" w:rsidRPr="00032C15" w:rsidRDefault="00032C15" w:rsidP="00032C15">
            <w:pPr>
              <w:tabs>
                <w:tab w:val="right" w:pos="9000"/>
              </w:tabs>
              <w:autoSpaceDE w:val="0"/>
              <w:autoSpaceDN w:val="0"/>
              <w:adjustRightInd w:val="0"/>
              <w:spacing w:line="360" w:lineRule="auto"/>
              <w:ind w:left="1134" w:right="1134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7135B">
              <w:rPr>
                <w:rFonts w:ascii="Noto Sans Disp" w:hAnsi="Noto Sans Disp" w:cs="Noto Sans Disp"/>
                <w:i/>
                <w:iCs/>
                <w:color w:val="000000"/>
                <w:sz w:val="24"/>
                <w:szCs w:val="24"/>
                <w:lang w:val="en-US"/>
              </w:rPr>
              <w:t>Galatians 5:1 (NIV)</w:t>
            </w:r>
          </w:p>
        </w:tc>
      </w:tr>
      <w:tr w:rsidR="00032C15" w14:paraId="71ED43F0" w14:textId="77777777" w:rsidTr="00032C15">
        <w:tc>
          <w:tcPr>
            <w:tcW w:w="1696" w:type="dxa"/>
          </w:tcPr>
          <w:p w14:paraId="0EC91311" w14:textId="793DE30C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5</w:t>
            </w:r>
          </w:p>
        </w:tc>
        <w:tc>
          <w:tcPr>
            <w:tcW w:w="7320" w:type="dxa"/>
          </w:tcPr>
          <w:p w14:paraId="52ED3A95" w14:textId="00325187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“I’m not addicted, I can stop anytime I want.” </w:t>
            </w:r>
            <w:r w:rsidRPr="0037135B">
              <w:rPr>
                <w:rFonts w:ascii="Noto Sans Disp" w:hAnsi="Noto Sans Disp" w:cs="Noto Sans Disp"/>
                <w:color w:val="D80000"/>
                <w:sz w:val="28"/>
                <w:szCs w:val="28"/>
                <w:lang w:val="en-GB"/>
              </w:rPr>
              <w:t xml:space="preserve"> </w:t>
            </w: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Despite our insistence, we live in a society that is afflicted by an epidemic of addiction.</w:t>
            </w:r>
          </w:p>
        </w:tc>
      </w:tr>
      <w:tr w:rsidR="00032C15" w14:paraId="7200B60F" w14:textId="77777777" w:rsidTr="00032C15">
        <w:tc>
          <w:tcPr>
            <w:tcW w:w="1696" w:type="dxa"/>
          </w:tcPr>
          <w:p w14:paraId="365437EA" w14:textId="5EE4F50F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6</w:t>
            </w:r>
          </w:p>
        </w:tc>
        <w:tc>
          <w:tcPr>
            <w:tcW w:w="7320" w:type="dxa"/>
          </w:tcPr>
          <w:p w14:paraId="57F1CADF" w14:textId="2FE440DE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There are the more socially acceptable addictions, such as work, exercise, food, or technology usage – I sometimes wonder if any of us would pass a test for smartphone addiction in 2024!</w:t>
            </w:r>
          </w:p>
        </w:tc>
      </w:tr>
      <w:tr w:rsidR="00032C15" w14:paraId="6DBF46E3" w14:textId="77777777" w:rsidTr="00032C15">
        <w:tc>
          <w:tcPr>
            <w:tcW w:w="1696" w:type="dxa"/>
          </w:tcPr>
          <w:p w14:paraId="2055509E" w14:textId="0439EBB0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7</w:t>
            </w:r>
          </w:p>
        </w:tc>
        <w:tc>
          <w:tcPr>
            <w:tcW w:w="7320" w:type="dxa"/>
          </w:tcPr>
          <w:p w14:paraId="040277EC" w14:textId="5CE055E2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less socially acceptable kind are substance addictions to things such as illicit drugs, tobacco, alcohol, and in more recent times, vaping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We often feel uncomfortable talking about these socially unacceptable kinds of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addictions, or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are unsure of where to go for help. These addictions come with a certain social stigma, and if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we’re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honest, we can be inclined to look down upon those who find themselves caught up in them.</w:t>
            </w:r>
          </w:p>
        </w:tc>
      </w:tr>
      <w:tr w:rsidR="00032C15" w14:paraId="5CCE8A21" w14:textId="77777777" w:rsidTr="00032C15">
        <w:tc>
          <w:tcPr>
            <w:tcW w:w="1696" w:type="dxa"/>
          </w:tcPr>
          <w:p w14:paraId="5E0F6E78" w14:textId="2BFF965D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8</w:t>
            </w:r>
          </w:p>
        </w:tc>
        <w:tc>
          <w:tcPr>
            <w:tcW w:w="7320" w:type="dxa"/>
          </w:tcPr>
          <w:p w14:paraId="110DE31D" w14:textId="14FDC945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The fact is that these kinds of addictions are incredibly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complex, and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affect people from all walks of life - even those who follow Jesus. It is also true that where the chains of substance abuse hold many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captive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, there exists a glimmer of hope. Despite the formidable challenges to face in the journey of breaking free, there is an enduring hope that transcends our struggle</w:t>
            </w:r>
          </w:p>
        </w:tc>
      </w:tr>
      <w:tr w:rsidR="00032C15" w14:paraId="555AE5EC" w14:textId="77777777" w:rsidTr="00032C15">
        <w:tc>
          <w:tcPr>
            <w:tcW w:w="1696" w:type="dxa"/>
          </w:tcPr>
          <w:p w14:paraId="7A95EF79" w14:textId="1590B1C2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9</w:t>
            </w:r>
          </w:p>
        </w:tc>
        <w:tc>
          <w:tcPr>
            <w:tcW w:w="7320" w:type="dxa"/>
          </w:tcPr>
          <w:p w14:paraId="02617263" w14:textId="77777777" w:rsidR="00032C15" w:rsidRPr="0037135B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b/>
                <w:bCs/>
                <w:color w:val="000000"/>
                <w:sz w:val="28"/>
                <w:szCs w:val="28"/>
                <w:lang w:val="en-GB"/>
              </w:rPr>
              <w:t>Why We Get Addicted</w:t>
            </w:r>
          </w:p>
          <w:p w14:paraId="6F6E03EC" w14:textId="77777777" w:rsidR="00032C15" w:rsidRPr="0037135B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lastRenderedPageBreak/>
              <w:t>Understanding the roots of addiction involves delving into the intricate interplay of biological, psychological, and social factors that lead a person down the path of addiction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While each person has a unique story, there are also commonalities with which all of us can relate at some level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At its core, addiction often begins with the pursuit of pleasure or relief from pain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brain’s reward system plays a crucial role, as substances like drugs or alcohol trigger the release of neurotransmitters, creating a pleasurable sensation.</w:t>
            </w:r>
          </w:p>
          <w:p w14:paraId="6510ECD7" w14:textId="1AB5349F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Over time, repeated substance use can lead to changes in both the structure and function off our brain, making it increasingly difficult to control our impulses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</w:p>
        </w:tc>
      </w:tr>
      <w:tr w:rsidR="00032C15" w14:paraId="27B29237" w14:textId="77777777" w:rsidTr="00032C15">
        <w:tc>
          <w:tcPr>
            <w:tcW w:w="1696" w:type="dxa"/>
          </w:tcPr>
          <w:p w14:paraId="1B336534" w14:textId="6B000B3B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lastRenderedPageBreak/>
              <w:t>Slide # 1</w:t>
            </w:r>
            <w:r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7320" w:type="dxa"/>
          </w:tcPr>
          <w:p w14:paraId="1DBE46E5" w14:textId="1C6D4E7D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When you also factor for genetic predispositions, environmental influences, and trauma, there are many things that can contribute to the vulnerability of developing addictive behaviours.</w:t>
            </w:r>
          </w:p>
        </w:tc>
      </w:tr>
      <w:tr w:rsidR="00032C15" w14:paraId="79AFF64D" w14:textId="77777777" w:rsidTr="00032C15">
        <w:tc>
          <w:tcPr>
            <w:tcW w:w="1696" w:type="dxa"/>
          </w:tcPr>
          <w:p w14:paraId="08A0055A" w14:textId="7BBBD9A1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7320" w:type="dxa"/>
          </w:tcPr>
          <w:p w14:paraId="710E98BD" w14:textId="77777777" w:rsid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37135B">
              <w:rPr>
                <w:rFonts w:ascii="Noto Sans Disp" w:hAnsi="Noto Sans Disp" w:cs="Noto Sans Disp"/>
                <w:b/>
                <w:bCs/>
                <w:color w:val="000000"/>
                <w:sz w:val="28"/>
                <w:szCs w:val="28"/>
                <w:lang w:val="en-GB"/>
              </w:rPr>
              <w:t>The Challenge of Breaking Free</w:t>
            </w:r>
          </w:p>
          <w:p w14:paraId="394CB02A" w14:textId="2433C4B8" w:rsidR="00032C15" w:rsidRPr="0037135B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It must be acknowledged that breaking free from the clutches of addiction is an arduous journey, marked by numerous obstacles and setbacks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Withdrawal symptoms, both physical and psychological, are often common for anyone who wants to walk the path towards freedom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These can intensify the difficulty of quitting, creating a formidable barrier to recovery.</w:t>
            </w:r>
          </w:p>
          <w:p w14:paraId="7DF9F81A" w14:textId="3272BFB9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Moreover, the societal stigma surrounding addiction can lead to feelings of shame and isolation, hindering people from seeking help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cycle of addiction often involves a sense of powerlessness, with individuals feeling trapped in a seemingly inescapable pattern of substance use.</w:t>
            </w:r>
          </w:p>
        </w:tc>
      </w:tr>
      <w:tr w:rsidR="00032C15" w14:paraId="37AB75CF" w14:textId="77777777" w:rsidTr="00032C15">
        <w:tc>
          <w:tcPr>
            <w:tcW w:w="1696" w:type="dxa"/>
          </w:tcPr>
          <w:p w14:paraId="6E88E7B9" w14:textId="7098F7C9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7320" w:type="dxa"/>
          </w:tcPr>
          <w:p w14:paraId="152E98E0" w14:textId="27E6BB42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Yet, in our weakness, the Lord’s strength is made perfect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( But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he said to me, “My grace is sufficient for you, for my power is made perfect in weakness.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Therefore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I will boast all the more gladly about my weakness so that Christ’s power may rest on me.” 2 Corinthians 12:9, NIV). The shame and isolation that often accompany addiction dissolve in the light of God’s unwavering love.</w:t>
            </w:r>
          </w:p>
        </w:tc>
      </w:tr>
      <w:tr w:rsidR="00032C15" w14:paraId="4FB988CC" w14:textId="77777777" w:rsidTr="00032C15">
        <w:tc>
          <w:tcPr>
            <w:tcW w:w="1696" w:type="dxa"/>
          </w:tcPr>
          <w:p w14:paraId="47D35506" w14:textId="3766D56D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3</w:t>
            </w:r>
          </w:p>
        </w:tc>
        <w:tc>
          <w:tcPr>
            <w:tcW w:w="7320" w:type="dxa"/>
          </w:tcPr>
          <w:p w14:paraId="1171A452" w14:textId="66B2B974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In Galatians 5:1 (NIV), we are reminded: “It is for freedom that Christ has set us free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Stand firm, then, and do not let yourselves be burdened again by a yoke of slavery.” As we face the chains that bind us, we can trust in the promise that Christ has already paved the way to freedom.</w:t>
            </w:r>
          </w:p>
        </w:tc>
      </w:tr>
      <w:tr w:rsidR="00032C15" w14:paraId="54A6CB04" w14:textId="77777777" w:rsidTr="00032C15">
        <w:tc>
          <w:tcPr>
            <w:tcW w:w="1696" w:type="dxa"/>
          </w:tcPr>
          <w:p w14:paraId="1BC1DDFE" w14:textId="7F1696BA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4</w:t>
            </w:r>
          </w:p>
        </w:tc>
        <w:tc>
          <w:tcPr>
            <w:tcW w:w="7320" w:type="dxa"/>
          </w:tcPr>
          <w:p w14:paraId="08B371C7" w14:textId="77777777" w:rsidR="00032C15" w:rsidRPr="0037135B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b/>
                <w:bCs/>
                <w:color w:val="000000"/>
                <w:sz w:val="28"/>
                <w:szCs w:val="28"/>
                <w:lang w:val="en-GB"/>
              </w:rPr>
              <w:t>Hope for Breaking Free</w:t>
            </w:r>
          </w:p>
          <w:p w14:paraId="5E7D6F26" w14:textId="77777777" w:rsid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In the depths and darkness of addiction, we are told there is a path to recovery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The Bible speaks to the transformative power of renewal in Romans 12:2 (NIV): “Do not conform to the pattern of this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world, but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 be transformed by the renewing of your mind.” The process of breaking free </w:t>
            </w: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lastRenderedPageBreak/>
              <w:t>involves a renewing of the mind—a transformation fuelled by God’s grace.</w:t>
            </w:r>
          </w:p>
          <w:p w14:paraId="776E119E" w14:textId="4FCA9C67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Part of embracing a mindset of transformation involves reaching out for help, whether through counselling, therapy, or support groups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acknowledgment of the struggles and the decision to reach out for assistance are pivotal moments on the journey to recovery.</w:t>
            </w:r>
          </w:p>
        </w:tc>
      </w:tr>
      <w:tr w:rsidR="00032C15" w14:paraId="7D6B1052" w14:textId="77777777" w:rsidTr="00032C15">
        <w:tc>
          <w:tcPr>
            <w:tcW w:w="1696" w:type="dxa"/>
          </w:tcPr>
          <w:p w14:paraId="1DC73298" w14:textId="20A15F80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lastRenderedPageBreak/>
              <w:t>Slide # 1</w:t>
            </w:r>
            <w:r>
              <w:rPr>
                <w:color w:val="FF0000"/>
                <w:sz w:val="28"/>
                <w:szCs w:val="28"/>
              </w:rPr>
              <w:t>5</w:t>
            </w:r>
          </w:p>
        </w:tc>
        <w:tc>
          <w:tcPr>
            <w:tcW w:w="7320" w:type="dxa"/>
          </w:tcPr>
          <w:p w14:paraId="7DECB866" w14:textId="0C2D1C6B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sz w:val="28"/>
                <w:szCs w:val="28"/>
                <w:lang w:val="en-GB"/>
              </w:rPr>
              <w:t>I</w:t>
            </w: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n 2 Corinthians 5:17 (NIV), there is a promise of new beginnings: “Therefore, if anyone is in Christ, the new creation has come: The old has gone, the new is here!” Our hope rests not in our strength but in the promise of a new beginning through 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Christ..</w:t>
            </w:r>
            <w:proofErr w:type="gramEnd"/>
          </w:p>
        </w:tc>
      </w:tr>
      <w:tr w:rsidR="00032C15" w14:paraId="0190EDD4" w14:textId="77777777" w:rsidTr="00032C15">
        <w:tc>
          <w:tcPr>
            <w:tcW w:w="1696" w:type="dxa"/>
          </w:tcPr>
          <w:p w14:paraId="0F5E0FF4" w14:textId="69D963C6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6</w:t>
            </w:r>
          </w:p>
        </w:tc>
        <w:tc>
          <w:tcPr>
            <w:tcW w:w="7320" w:type="dxa"/>
          </w:tcPr>
          <w:p w14:paraId="2696C85A" w14:textId="148C014A" w:rsidR="00032C15" w:rsidRDefault="00032C15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support of a compassionate community is instrumental in the recovery process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Galatians 6:2 (NIV) encourages believers to “Carry each other’s burdens, and in this way, you will fulfil the law of Christ.” Breaking free from addiction often requires a network of understanding and caring individuals who can provide encouragement, accountability, and prayer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power of prayer is a cornerstone of hope for many facing the challenges of addiction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Philippians 4:13 (NIV) declares, “I can do all this through him who gives me strength.” A compassionate and prayerful community can foster an environment of support, understanding, and love, where real healing can begin to take place.</w:t>
            </w:r>
          </w:p>
        </w:tc>
      </w:tr>
      <w:tr w:rsidR="00032C15" w14:paraId="7C4E6A8F" w14:textId="77777777" w:rsidTr="00032C15">
        <w:tc>
          <w:tcPr>
            <w:tcW w:w="1696" w:type="dxa"/>
          </w:tcPr>
          <w:p w14:paraId="30009C48" w14:textId="53D59E8F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7</w:t>
            </w:r>
          </w:p>
        </w:tc>
        <w:tc>
          <w:tcPr>
            <w:tcW w:w="7320" w:type="dxa"/>
          </w:tcPr>
          <w:p w14:paraId="06963792" w14:textId="77777777" w:rsidR="00032C15" w:rsidRPr="0037135B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b/>
                <w:bCs/>
                <w:color w:val="000000"/>
                <w:sz w:val="28"/>
                <w:szCs w:val="28"/>
                <w:lang w:val="en-GB"/>
              </w:rPr>
              <w:t>Conclusion</w:t>
            </w:r>
          </w:p>
          <w:p w14:paraId="22784DD3" w14:textId="32E43BC2" w:rsidR="00032C15" w:rsidRPr="00032C15" w:rsidRDefault="00032C15" w:rsidP="00032C15">
            <w:pPr>
              <w:autoSpaceDE w:val="0"/>
              <w:autoSpaceDN w:val="0"/>
              <w:adjustRightInd w:val="0"/>
              <w:spacing w:after="113" w:line="288" w:lineRule="auto"/>
              <w:textAlignment w:val="center"/>
              <w:rPr>
                <w:rFonts w:ascii="Noto Sans Disp" w:hAnsi="Noto Sans Disp" w:cs="Noto Sans Disp"/>
                <w:color w:val="000000"/>
                <w:lang w:val="en-GB"/>
              </w:rPr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By understanding the roots of addiction, acknowledging the difficulties of breaking free, and embracing the possibility of transformation, anyone in the grip of addiction can embark on a journey towards recovery.</w:t>
            </w:r>
          </w:p>
        </w:tc>
      </w:tr>
      <w:tr w:rsidR="00032C15" w14:paraId="0E28583E" w14:textId="77777777" w:rsidTr="00032C15">
        <w:tc>
          <w:tcPr>
            <w:tcW w:w="1696" w:type="dxa"/>
          </w:tcPr>
          <w:p w14:paraId="675ADC68" w14:textId="4530C8EA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8</w:t>
            </w:r>
          </w:p>
        </w:tc>
        <w:tc>
          <w:tcPr>
            <w:tcW w:w="7320" w:type="dxa"/>
          </w:tcPr>
          <w:p w14:paraId="23C66BF5" w14:textId="332A3777" w:rsidR="00032C15" w:rsidRDefault="00C204CA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path to freedom involves a combination of self-awareness, professional guidance, community support, and faith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Through perseverance, the chains of addiction can be broken, and a new chapter of healing and renewal can unfold.</w:t>
            </w:r>
          </w:p>
        </w:tc>
      </w:tr>
      <w:tr w:rsidR="00032C15" w14:paraId="74797AF2" w14:textId="77777777" w:rsidTr="00032C15">
        <w:tc>
          <w:tcPr>
            <w:tcW w:w="1696" w:type="dxa"/>
          </w:tcPr>
          <w:p w14:paraId="3CCE0BE1" w14:textId="7B98813C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>Slide # 1</w:t>
            </w:r>
            <w:r>
              <w:rPr>
                <w:color w:val="FF0000"/>
                <w:sz w:val="28"/>
                <w:szCs w:val="28"/>
              </w:rPr>
              <w:t>9</w:t>
            </w:r>
          </w:p>
        </w:tc>
        <w:tc>
          <w:tcPr>
            <w:tcW w:w="7320" w:type="dxa"/>
          </w:tcPr>
          <w:p w14:paraId="47AA89E9" w14:textId="722E3B6A" w:rsidR="00032C15" w:rsidRDefault="00C204CA" w:rsidP="00032C15">
            <w:pPr>
              <w:spacing w:after="120" w:line="23" w:lineRule="atLeast"/>
            </w:pP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As Psalm 34:17-18 (NIV) assures, “The righteous cry out, and the Lord hears them; he delivers them from all their troubles</w:t>
            </w:r>
            <w:proofErr w:type="gramStart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 xml:space="preserve">. </w:t>
            </w:r>
            <w:proofErr w:type="gramEnd"/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The Lord is close to the broken</w:t>
            </w:r>
            <w:r>
              <w:rPr>
                <w:rFonts w:ascii="Noto Sans Disp" w:hAnsi="Noto Sans Disp" w:cs="Noto Sans Disp"/>
                <w:color w:val="000000"/>
                <w:lang w:val="en-GB"/>
              </w:rPr>
              <w:t>-</w:t>
            </w:r>
            <w:r w:rsidRPr="0037135B">
              <w:rPr>
                <w:rFonts w:ascii="Noto Sans Disp" w:hAnsi="Noto Sans Disp" w:cs="Noto Sans Disp"/>
                <w:color w:val="000000"/>
                <w:lang w:val="en-GB"/>
              </w:rPr>
              <w:t>hearted and saves those who are crushed in spirit.” May this promise be a source of strength and encouragement for anyone on the journey to breaking free from the bonds of addiction - no matter how socially acceptable or unacceptable their addiction may be.</w:t>
            </w:r>
          </w:p>
        </w:tc>
      </w:tr>
      <w:tr w:rsidR="00032C15" w14:paraId="315503C3" w14:textId="77777777" w:rsidTr="00032C15">
        <w:tc>
          <w:tcPr>
            <w:tcW w:w="1696" w:type="dxa"/>
          </w:tcPr>
          <w:p w14:paraId="736E84CE" w14:textId="24A2DEE6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20</w:t>
            </w:r>
          </w:p>
        </w:tc>
        <w:tc>
          <w:tcPr>
            <w:tcW w:w="7320" w:type="dxa"/>
          </w:tcPr>
          <w:p w14:paraId="1A5BEA15" w14:textId="77777777" w:rsidR="00C204CA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</w:pPr>
            <w:r w:rsidRPr="00C204CA"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  <w:t xml:space="preserve">God </w:t>
            </w:r>
            <w:proofErr w:type="gramStart"/>
            <w:r w:rsidRPr="00C204CA"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  <w:t>understands</w:t>
            </w:r>
            <w:proofErr w:type="gramEnd"/>
          </w:p>
          <w:p w14:paraId="532FEC0A" w14:textId="77777777" w:rsidR="00C204CA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</w:pPr>
            <w:r w:rsidRPr="00C204CA"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  <w:t>Addiction</w:t>
            </w:r>
          </w:p>
          <w:p w14:paraId="71E9CC71" w14:textId="5578FF5D" w:rsidR="00032C15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</w:pPr>
            <w:r w:rsidRPr="00C204CA">
              <w:rPr>
                <w:rFonts w:ascii="Noto Sans Disp" w:hAnsi="Noto Sans Disp" w:cs="Noto Sans Disp"/>
                <w:b/>
                <w:bCs/>
                <w:color w:val="000000"/>
                <w:lang w:val="en-GB"/>
              </w:rPr>
              <w:t>But wants to set you free</w:t>
            </w:r>
          </w:p>
        </w:tc>
      </w:tr>
      <w:tr w:rsidR="00032C15" w14:paraId="34AB517C" w14:textId="77777777" w:rsidTr="00032C15">
        <w:tc>
          <w:tcPr>
            <w:tcW w:w="1696" w:type="dxa"/>
          </w:tcPr>
          <w:p w14:paraId="257E1B4B" w14:textId="174DDA06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t xml:space="preserve">Slide # </w:t>
            </w:r>
            <w:r>
              <w:rPr>
                <w:color w:val="FF0000"/>
                <w:sz w:val="28"/>
                <w:szCs w:val="28"/>
              </w:rPr>
              <w:t>21</w:t>
            </w:r>
          </w:p>
        </w:tc>
        <w:tc>
          <w:tcPr>
            <w:tcW w:w="7320" w:type="dxa"/>
          </w:tcPr>
          <w:p w14:paraId="71E9E2B6" w14:textId="25791BC0" w:rsidR="00032C15" w:rsidRPr="00C204CA" w:rsidRDefault="00C204CA" w:rsidP="00032C15">
            <w:pPr>
              <w:spacing w:after="120" w:line="23" w:lineRule="atLeast"/>
              <w:rPr>
                <w:color w:val="000000" w:themeColor="text1"/>
              </w:rPr>
            </w:pPr>
            <w:r w:rsidRPr="00C204CA">
              <w:rPr>
                <w:rFonts w:ascii="Noto Sans Disp" w:hAnsi="Noto Sans Disp" w:cs="Noto Sans Disp"/>
                <w:b/>
                <w:bCs/>
                <w:color w:val="000000" w:themeColor="text1"/>
                <w:lang w:val="en-GB"/>
              </w:rPr>
              <w:t>Disclaimer</w:t>
            </w:r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: The health information contained in this devotional is for general population use only, and must not be used to replace professional advice, guidance, or treatment</w:t>
            </w:r>
            <w:proofErr w:type="gramStart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. </w:t>
            </w:r>
            <w:proofErr w:type="gramEnd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Where there is real concern and need for professional help or review, we strongly recommend contacting your primary care provider, general practitioner, or local mental health team.</w:t>
            </w:r>
          </w:p>
        </w:tc>
      </w:tr>
      <w:tr w:rsidR="00032C15" w14:paraId="5D9C8EF1" w14:textId="77777777" w:rsidTr="00032C15">
        <w:tc>
          <w:tcPr>
            <w:tcW w:w="1696" w:type="dxa"/>
          </w:tcPr>
          <w:p w14:paraId="2B61D525" w14:textId="4B5E2917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  <w:r w:rsidRPr="00032C15">
              <w:rPr>
                <w:color w:val="FF0000"/>
                <w:sz w:val="28"/>
                <w:szCs w:val="28"/>
              </w:rPr>
              <w:lastRenderedPageBreak/>
              <w:t xml:space="preserve">Slide # </w:t>
            </w:r>
            <w:r>
              <w:rPr>
                <w:color w:val="FF0000"/>
                <w:sz w:val="28"/>
                <w:szCs w:val="28"/>
              </w:rPr>
              <w:t>22</w:t>
            </w:r>
          </w:p>
        </w:tc>
        <w:tc>
          <w:tcPr>
            <w:tcW w:w="7320" w:type="dxa"/>
          </w:tcPr>
          <w:p w14:paraId="6A691776" w14:textId="77777777" w:rsidR="00C204CA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  <w:r w:rsidRPr="00C204CA">
              <w:rPr>
                <w:rFonts w:ascii="Noto Sans Disp" w:hAnsi="Noto Sans Disp" w:cs="Noto Sans Disp"/>
                <w:b/>
                <w:bCs/>
                <w:color w:val="000000" w:themeColor="text1"/>
                <w:lang w:val="en-GB"/>
              </w:rPr>
              <w:t>Suggested Follow-up Discussion Topics</w:t>
            </w:r>
          </w:p>
          <w:p w14:paraId="5CB608CB" w14:textId="77777777" w:rsidR="00C204CA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</w:p>
          <w:p w14:paraId="4E7C4869" w14:textId="77777777" w:rsidR="00C204CA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Form groups of between 3 to 5 to discuss one of the following topics:</w:t>
            </w:r>
          </w:p>
          <w:p w14:paraId="10F2B6DE" w14:textId="77777777" w:rsidR="00C204CA" w:rsidRPr="00C204CA" w:rsidRDefault="00C204CA" w:rsidP="00C204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What forms of addiction may we be subject to without </w:t>
            </w:r>
            <w:proofErr w:type="gramStart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being aware of the fact that</w:t>
            </w:r>
            <w:proofErr w:type="gramEnd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 we are addicted?</w:t>
            </w:r>
          </w:p>
          <w:p w14:paraId="4A5E2A81" w14:textId="77777777" w:rsidR="00C204CA" w:rsidRPr="00C204CA" w:rsidRDefault="00C204CA" w:rsidP="00C204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What forms of addiction might be more common in the young/elderly/men/women/religious/non-religious</w:t>
            </w:r>
            <w:proofErr w:type="gramStart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? </w:t>
            </w:r>
            <w:proofErr w:type="gramEnd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(</w:t>
            </w:r>
            <w:proofErr w:type="gramStart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choose</w:t>
            </w:r>
            <w:proofErr w:type="gramEnd"/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 xml:space="preserve"> one area or similar area not mentioned here)</w:t>
            </w:r>
          </w:p>
          <w:p w14:paraId="1991781F" w14:textId="77777777" w:rsidR="00C204CA" w:rsidRPr="00C204CA" w:rsidRDefault="00C204CA" w:rsidP="00C204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What might my community do in mitigating the effect of addictions?</w:t>
            </w:r>
          </w:p>
          <w:p w14:paraId="7CBA0E41" w14:textId="77777777" w:rsidR="00C204CA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ind w:left="360" w:hanging="360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</w:p>
          <w:p w14:paraId="633AB0C6" w14:textId="1CA11704" w:rsidR="00032C15" w:rsidRPr="00C204CA" w:rsidRDefault="00C204CA" w:rsidP="00C204CA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Noto Sans Disp" w:hAnsi="Noto Sans Disp" w:cs="Noto Sans Disp"/>
                <w:color w:val="000000" w:themeColor="text1"/>
                <w:lang w:val="en-GB"/>
              </w:rPr>
            </w:pPr>
            <w:r w:rsidRPr="00C204CA">
              <w:rPr>
                <w:rFonts w:ascii="Noto Sans Disp" w:hAnsi="Noto Sans Disp" w:cs="Noto Sans Disp"/>
                <w:color w:val="000000" w:themeColor="text1"/>
                <w:lang w:val="en-GB"/>
              </w:rPr>
              <w:t>Then spend just a few moments sharing your group’s contributions.</w:t>
            </w:r>
          </w:p>
        </w:tc>
      </w:tr>
      <w:tr w:rsidR="00032C15" w14:paraId="07C5B495" w14:textId="77777777" w:rsidTr="00032C15">
        <w:tc>
          <w:tcPr>
            <w:tcW w:w="1696" w:type="dxa"/>
          </w:tcPr>
          <w:p w14:paraId="5A24ACC9" w14:textId="72AA4D10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</w:p>
        </w:tc>
        <w:tc>
          <w:tcPr>
            <w:tcW w:w="7320" w:type="dxa"/>
          </w:tcPr>
          <w:p w14:paraId="4C0570D0" w14:textId="77777777" w:rsidR="00032C15" w:rsidRDefault="00032C15" w:rsidP="00032C15">
            <w:pPr>
              <w:spacing w:after="120" w:line="23" w:lineRule="atLeast"/>
            </w:pPr>
          </w:p>
        </w:tc>
      </w:tr>
      <w:tr w:rsidR="00032C15" w14:paraId="265FCC62" w14:textId="77777777" w:rsidTr="00032C15">
        <w:tc>
          <w:tcPr>
            <w:tcW w:w="1696" w:type="dxa"/>
          </w:tcPr>
          <w:p w14:paraId="46AD6383" w14:textId="0A5B4CE3" w:rsidR="00032C15" w:rsidRPr="00032C15" w:rsidRDefault="00032C15" w:rsidP="00032C15">
            <w:pPr>
              <w:spacing w:after="120" w:line="23" w:lineRule="atLeast"/>
              <w:rPr>
                <w:color w:val="FF0000"/>
              </w:rPr>
            </w:pPr>
          </w:p>
        </w:tc>
        <w:tc>
          <w:tcPr>
            <w:tcW w:w="7320" w:type="dxa"/>
          </w:tcPr>
          <w:p w14:paraId="04CF78F4" w14:textId="77777777" w:rsidR="00032C15" w:rsidRDefault="00032C15" w:rsidP="00032C15">
            <w:pPr>
              <w:spacing w:after="120" w:line="23" w:lineRule="atLeast"/>
            </w:pPr>
          </w:p>
        </w:tc>
      </w:tr>
    </w:tbl>
    <w:p w14:paraId="362DF29E" w14:textId="77777777" w:rsidR="00032C15" w:rsidRDefault="00032C15"/>
    <w:sectPr w:rsidR="00032C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E7003"/>
    <w:multiLevelType w:val="hybridMultilevel"/>
    <w:tmpl w:val="08923B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124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C15"/>
    <w:rsid w:val="00032C15"/>
    <w:rsid w:val="00255C57"/>
    <w:rsid w:val="0036260A"/>
    <w:rsid w:val="00835928"/>
    <w:rsid w:val="00A75C90"/>
    <w:rsid w:val="00C204CA"/>
    <w:rsid w:val="00E6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3B107"/>
  <w15:chartTrackingRefBased/>
  <w15:docId w15:val="{B1746B0B-B755-4F86-B4CD-74173CAA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09EFC466DA44AB735CF67B6C8CB61" ma:contentTypeVersion="15" ma:contentTypeDescription="Create a new document." ma:contentTypeScope="" ma:versionID="6c9f4f764b95f0f60255dce05735750f">
  <xsd:schema xmlns:xsd="http://www.w3.org/2001/XMLSchema" xmlns:xs="http://www.w3.org/2001/XMLSchema" xmlns:p="http://schemas.microsoft.com/office/2006/metadata/properties" xmlns:ns1="http://schemas.microsoft.com/sharepoint/v3" xmlns:ns2="332fa7c2-ce9e-4ea5-a813-9b4af80c0ed4" xmlns:ns3="f3d4c248-da98-4d10-abe2-c37ec01ce3db" targetNamespace="http://schemas.microsoft.com/office/2006/metadata/properties" ma:root="true" ma:fieldsID="81b77c4882d606b79d628ef76c03c89b" ns1:_="" ns2:_="" ns3:_="">
    <xsd:import namespace="http://schemas.microsoft.com/sharepoint/v3"/>
    <xsd:import namespace="332fa7c2-ce9e-4ea5-a813-9b4af80c0ed4"/>
    <xsd:import namespace="f3d4c248-da98-4d10-abe2-c37ec01ce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fa7c2-ce9e-4ea5-a813-9b4af80c0e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b6a8110-3194-4be5-a3e5-df5e997724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4c248-da98-4d10-abe2-c37ec01ce3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A4D571-1DD1-41D4-AB24-9C13115BEA48}"/>
</file>

<file path=customXml/itemProps2.xml><?xml version="1.0" encoding="utf-8"?>
<ds:datastoreItem xmlns:ds="http://schemas.openxmlformats.org/officeDocument/2006/customXml" ds:itemID="{3407BE89-4DEB-44EF-B668-5A567CED31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Beissner</dc:creator>
  <cp:keywords/>
  <dc:description/>
  <cp:lastModifiedBy>Geoff Beissner</cp:lastModifiedBy>
  <cp:revision>3</cp:revision>
  <dcterms:created xsi:type="dcterms:W3CDTF">2024-02-21T21:28:00Z</dcterms:created>
  <dcterms:modified xsi:type="dcterms:W3CDTF">2024-02-22T02:47:00Z</dcterms:modified>
</cp:coreProperties>
</file>